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A107BA">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D5B32" w:rsidP="00132FC5">
      <w:pPr>
        <w:spacing w:after="0"/>
        <w:jc w:val="center"/>
        <w:rPr>
          <w:rFonts w:ascii="Times New Roman" w:hAnsi="Times New Roman"/>
          <w:sz w:val="28"/>
          <w:szCs w:val="28"/>
        </w:rPr>
      </w:pPr>
      <w:r>
        <w:rPr>
          <w:rFonts w:ascii="Times New Roman" w:hAnsi="Times New Roman"/>
          <w:sz w:val="28"/>
          <w:szCs w:val="28"/>
        </w:rPr>
        <w:t>20.03.2019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978FF">
        <w:rPr>
          <w:rFonts w:ascii="Times New Roman" w:hAnsi="Times New Roman"/>
          <w:b/>
          <w:sz w:val="28"/>
          <w:szCs w:val="28"/>
        </w:rPr>
        <w:t xml:space="preserve">№ </w:t>
      </w:r>
      <w:r>
        <w:rPr>
          <w:rFonts w:ascii="Times New Roman" w:hAnsi="Times New Roman"/>
          <w:b/>
          <w:sz w:val="28"/>
          <w:szCs w:val="28"/>
        </w:rPr>
        <w:t>25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AD5B32">
        <w:rPr>
          <w:rFonts w:ascii="Times New Roman" w:hAnsi="Times New Roman"/>
          <w:sz w:val="28"/>
          <w:szCs w:val="28"/>
        </w:rPr>
        <w:t>о результатам за 2018</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AD5B32">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AD5B32">
        <w:rPr>
          <w:rFonts w:ascii="Times New Roman" w:hAnsi="Times New Roman"/>
          <w:sz w:val="28"/>
          <w:szCs w:val="28"/>
        </w:rPr>
        <w:t>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673A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F32066" w:rsidRPr="00F32066" w:rsidRDefault="00D673A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00518"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AD5B32">
        <w:rPr>
          <w:rFonts w:ascii="Times New Roman" w:hAnsi="Times New Roman"/>
          <w:sz w:val="24"/>
          <w:szCs w:val="24"/>
        </w:rPr>
        <w:t>20.03</w:t>
      </w:r>
      <w:r w:rsidR="00132FC5">
        <w:rPr>
          <w:rFonts w:ascii="Times New Roman" w:hAnsi="Times New Roman"/>
          <w:sz w:val="24"/>
          <w:szCs w:val="24"/>
        </w:rPr>
        <w:t>.</w:t>
      </w:r>
      <w:r w:rsidR="00AD5B32">
        <w:rPr>
          <w:rFonts w:ascii="Times New Roman" w:hAnsi="Times New Roman"/>
          <w:sz w:val="24"/>
          <w:szCs w:val="24"/>
        </w:rPr>
        <w:t>2019</w:t>
      </w:r>
      <w:r w:rsidR="00320D4F" w:rsidRPr="00F32066">
        <w:rPr>
          <w:rFonts w:ascii="Times New Roman" w:hAnsi="Times New Roman"/>
          <w:sz w:val="24"/>
          <w:szCs w:val="24"/>
        </w:rPr>
        <w:t xml:space="preserve"> № </w:t>
      </w:r>
      <w:r w:rsidR="00AD5B32">
        <w:rPr>
          <w:rFonts w:ascii="Times New Roman" w:hAnsi="Times New Roman"/>
          <w:sz w:val="24"/>
          <w:szCs w:val="24"/>
        </w:rPr>
        <w:t>25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sidR="00AD5B32">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AD5B32">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D673A6">
        <w:trPr>
          <w:trHeight w:val="70"/>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rPr>
                <w:rFonts w:ascii="Times New Roman" w:hAnsi="Times New Roman"/>
                <w:sz w:val="20"/>
                <w:szCs w:val="20"/>
                <w:lang w:eastAsia="en-US"/>
              </w:rPr>
            </w:pPr>
            <w:r w:rsidRPr="00FD3A14">
              <w:rPr>
                <w:rFonts w:ascii="Times New Roman" w:hAnsi="Times New Roman"/>
                <w:sz w:val="20"/>
                <w:szCs w:val="20"/>
                <w:lang w:eastAsia="en-US"/>
              </w:rPr>
              <w:t>Благоустройство общей территории населенных пунктов сельского поселения</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sidR="00FD3A14">
              <w:rPr>
                <w:rFonts w:ascii="Times New Roman" w:hAnsi="Times New Roman"/>
                <w:sz w:val="20"/>
                <w:szCs w:val="20"/>
                <w:lang w:eastAsia="en-US"/>
              </w:rPr>
              <w:t>, ликвидации свалок</w:t>
            </w:r>
            <w:r w:rsidR="009566AF">
              <w:rPr>
                <w:rFonts w:ascii="Times New Roman" w:hAnsi="Times New Roman"/>
                <w:sz w:val="20"/>
                <w:szCs w:val="20"/>
                <w:lang w:eastAsia="en-US"/>
              </w:rPr>
              <w:t xml:space="preserve">, очагов сорной растительности. </w:t>
            </w: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w:t>
            </w:r>
            <w:r w:rsidR="00AD5B32">
              <w:rPr>
                <w:rFonts w:ascii="Times New Roman" w:hAnsi="Times New Roman"/>
                <w:lang w:eastAsia="en-US"/>
              </w:rPr>
              <w:t>8</w:t>
            </w:r>
          </w:p>
        </w:tc>
        <w:tc>
          <w:tcPr>
            <w:tcW w:w="1422" w:type="dxa"/>
            <w:tcBorders>
              <w:top w:val="nil"/>
              <w:left w:val="single" w:sz="4" w:space="0" w:color="auto"/>
              <w:bottom w:val="single" w:sz="4" w:space="0" w:color="auto"/>
              <w:right w:val="single" w:sz="4" w:space="0" w:color="auto"/>
            </w:tcBorders>
          </w:tcPr>
          <w:p w:rsidR="004323FA" w:rsidRPr="004323FA" w:rsidRDefault="00AD5B3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915,9</w:t>
            </w:r>
          </w:p>
        </w:tc>
        <w:tc>
          <w:tcPr>
            <w:tcW w:w="1417" w:type="dxa"/>
            <w:tcBorders>
              <w:top w:val="nil"/>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915,7</w:t>
            </w:r>
          </w:p>
        </w:tc>
        <w:tc>
          <w:tcPr>
            <w:tcW w:w="1865" w:type="dxa"/>
            <w:tcBorders>
              <w:top w:val="nil"/>
              <w:left w:val="single" w:sz="4" w:space="0" w:color="auto"/>
              <w:bottom w:val="single" w:sz="4" w:space="0" w:color="auto"/>
              <w:right w:val="single" w:sz="4" w:space="0" w:color="auto"/>
            </w:tcBorders>
          </w:tcPr>
          <w:p w:rsidR="00AF1A1E"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43</w:t>
            </w:r>
          </w:p>
          <w:p w:rsidR="00FD3A14" w:rsidRPr="004323FA"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521,1</w:t>
            </w:r>
          </w:p>
        </w:tc>
      </w:tr>
      <w:tr w:rsidR="00FD3A14" w:rsidRPr="004323FA" w:rsidTr="00D673A6">
        <w:trPr>
          <w:trHeight w:val="70"/>
        </w:trPr>
        <w:tc>
          <w:tcPr>
            <w:tcW w:w="71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D3A14" w:rsidRPr="00FD3A14" w:rsidRDefault="00FD3A14" w:rsidP="004323FA">
            <w:pPr>
              <w:widowControl w:val="0"/>
              <w:autoSpaceDE w:val="0"/>
              <w:autoSpaceDN w:val="0"/>
              <w:adjustRightInd w:val="0"/>
              <w:spacing w:after="0" w:line="240" w:lineRule="auto"/>
              <w:rPr>
                <w:rFonts w:ascii="Times New Roman" w:hAnsi="Times New Roman"/>
                <w:sz w:val="20"/>
                <w:szCs w:val="20"/>
                <w:lang w:eastAsia="en-US"/>
              </w:rPr>
            </w:pPr>
            <w:r w:rsidRPr="00FD3A14">
              <w:rPr>
                <w:rFonts w:ascii="Times New Roman" w:hAnsi="Times New Roman"/>
                <w:sz w:val="20"/>
                <w:szCs w:val="20"/>
                <w:lang w:eastAsia="en-US"/>
              </w:rPr>
              <w:t>Благоустройство кладбищ сельского поселения</w:t>
            </w:r>
          </w:p>
        </w:tc>
        <w:tc>
          <w:tcPr>
            <w:tcW w:w="1979" w:type="dxa"/>
            <w:tcBorders>
              <w:top w:val="nil"/>
              <w:left w:val="single" w:sz="4" w:space="0" w:color="auto"/>
              <w:bottom w:val="single" w:sz="4" w:space="0" w:color="auto"/>
              <w:right w:val="single" w:sz="4" w:space="0" w:color="auto"/>
            </w:tcBorders>
          </w:tcPr>
          <w:p w:rsidR="00FD3A14" w:rsidRPr="009258AD" w:rsidRDefault="00FD3A14" w:rsidP="00137DC1">
            <w:pPr>
              <w:pStyle w:val="ConsPlusCell"/>
              <w:jc w:val="center"/>
              <w:rPr>
                <w:rFonts w:ascii="Times New Roman" w:hAnsi="Times New Roman" w:cs="Times New Roman"/>
              </w:rPr>
            </w:pPr>
            <w:r w:rsidRPr="00FD3A14">
              <w:rPr>
                <w:rFonts w:ascii="Times New Roman" w:hAnsi="Times New Roman" w:cs="Times New Roman"/>
              </w:rPr>
              <w:t>Администрация Красновского сельского поселения с привлечением предприятий и учреждений, расположенных на подведомственной территории</w:t>
            </w:r>
          </w:p>
        </w:tc>
        <w:tc>
          <w:tcPr>
            <w:tcW w:w="2441" w:type="dxa"/>
            <w:tcBorders>
              <w:top w:val="nil"/>
              <w:left w:val="single" w:sz="4" w:space="0" w:color="auto"/>
              <w:bottom w:val="single" w:sz="4" w:space="0" w:color="auto"/>
              <w:right w:val="single" w:sz="4" w:space="0" w:color="auto"/>
            </w:tcBorders>
          </w:tcPr>
          <w:p w:rsidR="00FD3A14" w:rsidRDefault="00FD3A14" w:rsidP="00FD3A14">
            <w:pPr>
              <w:widowControl w:val="0"/>
              <w:autoSpaceDE w:val="0"/>
              <w:autoSpaceDN w:val="0"/>
              <w:adjustRightInd w:val="0"/>
              <w:spacing w:after="0" w:line="240" w:lineRule="auto"/>
              <w:jc w:val="center"/>
              <w:rPr>
                <w:rFonts w:ascii="Times New Roman" w:hAnsi="Times New Roman"/>
                <w:sz w:val="20"/>
                <w:szCs w:val="20"/>
                <w:lang w:eastAsia="en-US"/>
              </w:rPr>
            </w:pPr>
            <w:r w:rsidRPr="00FD3A14">
              <w:rPr>
                <w:rFonts w:ascii="Times New Roman" w:hAnsi="Times New Roman"/>
                <w:sz w:val="20"/>
                <w:szCs w:val="20"/>
                <w:lang w:eastAsia="en-US"/>
              </w:rPr>
              <w:t>Проведены работы по благоустройству кладбищ сельск</w:t>
            </w:r>
            <w:r>
              <w:rPr>
                <w:rFonts w:ascii="Times New Roman" w:hAnsi="Times New Roman"/>
                <w:sz w:val="20"/>
                <w:szCs w:val="20"/>
                <w:lang w:eastAsia="en-US"/>
              </w:rPr>
              <w:t>ого поселения.</w:t>
            </w:r>
          </w:p>
        </w:tc>
        <w:tc>
          <w:tcPr>
            <w:tcW w:w="1558" w:type="dxa"/>
            <w:tcBorders>
              <w:top w:val="nil"/>
              <w:left w:val="single" w:sz="4" w:space="0" w:color="auto"/>
              <w:bottom w:val="single" w:sz="4" w:space="0" w:color="auto"/>
              <w:right w:val="single" w:sz="4" w:space="0" w:color="auto"/>
            </w:tcBorders>
          </w:tcPr>
          <w:p w:rsidR="00FD3A14"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D3A14"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244,4</w:t>
            </w:r>
          </w:p>
        </w:tc>
        <w:tc>
          <w:tcPr>
            <w:tcW w:w="1417" w:type="dxa"/>
            <w:tcBorders>
              <w:top w:val="nil"/>
              <w:left w:val="single" w:sz="4" w:space="0" w:color="auto"/>
              <w:bottom w:val="single" w:sz="4" w:space="0" w:color="auto"/>
              <w:right w:val="single" w:sz="4" w:space="0" w:color="auto"/>
            </w:tcBorders>
          </w:tcPr>
          <w:p w:rsidR="00FD3A14"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244,4</w:t>
            </w:r>
          </w:p>
        </w:tc>
        <w:tc>
          <w:tcPr>
            <w:tcW w:w="1865" w:type="dxa"/>
            <w:tcBorders>
              <w:top w:val="nil"/>
              <w:left w:val="single" w:sz="4" w:space="0" w:color="auto"/>
              <w:bottom w:val="single" w:sz="4" w:space="0" w:color="auto"/>
              <w:right w:val="single" w:sz="4" w:space="0" w:color="auto"/>
            </w:tcBorders>
          </w:tcPr>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8</w:t>
            </w:r>
          </w:p>
          <w:p w:rsidR="00FD3A14" w:rsidRPr="004323FA"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244,4</w:t>
            </w:r>
          </w:p>
        </w:tc>
      </w:tr>
      <w:tr w:rsidR="00FD3A14" w:rsidRPr="004323FA" w:rsidTr="00D673A6">
        <w:trPr>
          <w:trHeight w:val="70"/>
        </w:trPr>
        <w:tc>
          <w:tcPr>
            <w:tcW w:w="71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D3A14" w:rsidRPr="00FD3A14" w:rsidRDefault="00FD3A14" w:rsidP="004323FA">
            <w:pPr>
              <w:widowControl w:val="0"/>
              <w:autoSpaceDE w:val="0"/>
              <w:autoSpaceDN w:val="0"/>
              <w:adjustRightInd w:val="0"/>
              <w:spacing w:after="0" w:line="240" w:lineRule="auto"/>
              <w:rPr>
                <w:rFonts w:ascii="Times New Roman" w:hAnsi="Times New Roman"/>
                <w:sz w:val="20"/>
                <w:szCs w:val="20"/>
                <w:lang w:eastAsia="en-US"/>
              </w:rPr>
            </w:pPr>
            <w:r w:rsidRPr="00FD3A14">
              <w:rPr>
                <w:rFonts w:ascii="Times New Roman" w:hAnsi="Times New Roman"/>
                <w:sz w:val="20"/>
                <w:szCs w:val="20"/>
                <w:lang w:eastAsia="en-US"/>
              </w:rPr>
              <w:t>Высадка зеленых насаждений, закладка цветников</w:t>
            </w:r>
          </w:p>
        </w:tc>
        <w:tc>
          <w:tcPr>
            <w:tcW w:w="1979" w:type="dxa"/>
            <w:tcBorders>
              <w:top w:val="nil"/>
              <w:left w:val="single" w:sz="4" w:space="0" w:color="auto"/>
              <w:bottom w:val="single" w:sz="4" w:space="0" w:color="auto"/>
              <w:right w:val="single" w:sz="4" w:space="0" w:color="auto"/>
            </w:tcBorders>
          </w:tcPr>
          <w:p w:rsidR="00FD3A14" w:rsidRPr="009258AD" w:rsidRDefault="00FD3A14" w:rsidP="00137DC1">
            <w:pPr>
              <w:pStyle w:val="ConsPlusCell"/>
              <w:jc w:val="center"/>
              <w:rPr>
                <w:rFonts w:ascii="Times New Roman" w:hAnsi="Times New Roman" w:cs="Times New Roman"/>
              </w:rPr>
            </w:pPr>
            <w:r w:rsidRPr="00FD3A14">
              <w:rPr>
                <w:rFonts w:ascii="Times New Roman" w:hAnsi="Times New Roman" w:cs="Times New Roman"/>
              </w:rPr>
              <w:t>Администрация Красновского сельского поселения с привлечением предприятий и учреждений, расположенных на подведомственной территории</w:t>
            </w:r>
          </w:p>
        </w:tc>
        <w:tc>
          <w:tcPr>
            <w:tcW w:w="2441" w:type="dxa"/>
            <w:tcBorders>
              <w:top w:val="nil"/>
              <w:left w:val="single" w:sz="4" w:space="0" w:color="auto"/>
              <w:bottom w:val="single" w:sz="4" w:space="0" w:color="auto"/>
              <w:right w:val="single" w:sz="4" w:space="0" w:color="auto"/>
            </w:tcBorders>
          </w:tcPr>
          <w:p w:rsidR="00FD3A14" w:rsidRPr="00FD3A14" w:rsidRDefault="00FD3A14" w:rsidP="00FD3A14">
            <w:pPr>
              <w:widowControl w:val="0"/>
              <w:autoSpaceDE w:val="0"/>
              <w:autoSpaceDN w:val="0"/>
              <w:adjustRightInd w:val="0"/>
              <w:spacing w:after="0" w:line="240" w:lineRule="auto"/>
              <w:jc w:val="center"/>
              <w:rPr>
                <w:rFonts w:ascii="Times New Roman" w:hAnsi="Times New Roman"/>
                <w:sz w:val="20"/>
                <w:szCs w:val="20"/>
                <w:lang w:eastAsia="en-US"/>
              </w:rPr>
            </w:pPr>
            <w:r w:rsidRPr="00FD3A14">
              <w:rPr>
                <w:rFonts w:ascii="Times New Roman" w:hAnsi="Times New Roman"/>
                <w:sz w:val="20"/>
                <w:szCs w:val="20"/>
                <w:lang w:eastAsia="en-US"/>
              </w:rPr>
              <w:t xml:space="preserve">Проведены работы по посадке древесно-кустарниковой растительности в рамках проведения Дня древонасаждения, закладке цветников. </w:t>
            </w:r>
          </w:p>
        </w:tc>
        <w:tc>
          <w:tcPr>
            <w:tcW w:w="155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36,8</w:t>
            </w:r>
          </w:p>
        </w:tc>
        <w:tc>
          <w:tcPr>
            <w:tcW w:w="1417"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36,8</w:t>
            </w:r>
          </w:p>
        </w:tc>
        <w:tc>
          <w:tcPr>
            <w:tcW w:w="1865" w:type="dxa"/>
            <w:tcBorders>
              <w:top w:val="nil"/>
              <w:left w:val="single" w:sz="4" w:space="0" w:color="auto"/>
              <w:bottom w:val="single" w:sz="4" w:space="0" w:color="auto"/>
              <w:right w:val="single" w:sz="4" w:space="0" w:color="auto"/>
            </w:tcBorders>
          </w:tcPr>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36,8</w:t>
            </w:r>
          </w:p>
        </w:tc>
      </w:tr>
      <w:tr w:rsidR="00FD3A14" w:rsidRPr="004323FA" w:rsidTr="00D673A6">
        <w:trPr>
          <w:trHeight w:val="70"/>
        </w:trPr>
        <w:tc>
          <w:tcPr>
            <w:tcW w:w="71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nil"/>
              <w:left w:val="single" w:sz="4" w:space="0" w:color="auto"/>
              <w:bottom w:val="single" w:sz="4" w:space="0" w:color="auto"/>
              <w:right w:val="single" w:sz="4" w:space="0" w:color="auto"/>
            </w:tcBorders>
          </w:tcPr>
          <w:p w:rsidR="00FD3A14" w:rsidRPr="00FD3A14" w:rsidRDefault="00FD3A14"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Организация сбора ртутьсодержащих отходов</w:t>
            </w:r>
          </w:p>
        </w:tc>
        <w:tc>
          <w:tcPr>
            <w:tcW w:w="1979" w:type="dxa"/>
            <w:tcBorders>
              <w:top w:val="nil"/>
              <w:left w:val="single" w:sz="4" w:space="0" w:color="auto"/>
              <w:bottom w:val="single" w:sz="4" w:space="0" w:color="auto"/>
              <w:right w:val="single" w:sz="4" w:space="0" w:color="auto"/>
            </w:tcBorders>
          </w:tcPr>
          <w:p w:rsidR="00FD3A14" w:rsidRPr="00FD3A14" w:rsidRDefault="00FD3A14" w:rsidP="00137DC1">
            <w:pPr>
              <w:pStyle w:val="ConsPlusCell"/>
              <w:jc w:val="center"/>
              <w:rPr>
                <w:rFonts w:ascii="Times New Roman" w:hAnsi="Times New Roman" w:cs="Times New Roman"/>
              </w:rPr>
            </w:pPr>
            <w:r w:rsidRPr="00FD3A14">
              <w:rPr>
                <w:rFonts w:ascii="Times New Roman" w:hAnsi="Times New Roman" w:cs="Times New Roman"/>
              </w:rPr>
              <w:t>Администрация Красновского сельского поселения с привлечением предприятий и учреждений, расположенных на подведомственной территории</w:t>
            </w:r>
          </w:p>
        </w:tc>
        <w:tc>
          <w:tcPr>
            <w:tcW w:w="2441" w:type="dxa"/>
            <w:tcBorders>
              <w:top w:val="nil"/>
              <w:left w:val="single" w:sz="4" w:space="0" w:color="auto"/>
              <w:bottom w:val="single" w:sz="4" w:space="0" w:color="auto"/>
              <w:right w:val="single" w:sz="4" w:space="0" w:color="auto"/>
            </w:tcBorders>
          </w:tcPr>
          <w:p w:rsidR="00FD3A14" w:rsidRPr="00FD3A14" w:rsidRDefault="00FD3A14"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FD3A14">
              <w:rPr>
                <w:rFonts w:ascii="Times New Roman" w:hAnsi="Times New Roman"/>
                <w:sz w:val="20"/>
                <w:szCs w:val="20"/>
                <w:lang w:eastAsia="en-US"/>
              </w:rPr>
              <w:t>. Организовано место сбора ртутьсодержащих отходов.</w:t>
            </w:r>
          </w:p>
        </w:tc>
        <w:tc>
          <w:tcPr>
            <w:tcW w:w="155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23,4</w:t>
            </w:r>
          </w:p>
        </w:tc>
        <w:tc>
          <w:tcPr>
            <w:tcW w:w="1417"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23,4</w:t>
            </w:r>
          </w:p>
        </w:tc>
        <w:tc>
          <w:tcPr>
            <w:tcW w:w="1865" w:type="dxa"/>
            <w:tcBorders>
              <w:top w:val="nil"/>
              <w:left w:val="single" w:sz="4" w:space="0" w:color="auto"/>
              <w:bottom w:val="single" w:sz="4" w:space="0" w:color="auto"/>
              <w:right w:val="single" w:sz="4" w:space="0" w:color="auto"/>
            </w:tcBorders>
          </w:tcPr>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23,4</w:t>
            </w:r>
          </w:p>
        </w:tc>
      </w:tr>
      <w:tr w:rsidR="004323FA" w:rsidRPr="004323FA" w:rsidTr="00D673A6">
        <w:trPr>
          <w:trHeight w:val="834"/>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D673A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w:t>
            </w:r>
            <w:r w:rsidR="00AD5B32">
              <w:rPr>
                <w:rFonts w:ascii="Times New Roman" w:hAnsi="Times New Roman"/>
                <w:lang w:eastAsia="en-US"/>
              </w:rPr>
              <w:t>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w:t>
            </w:r>
            <w:r w:rsidR="00AD5B32">
              <w:rPr>
                <w:rFonts w:ascii="Times New Roman" w:hAnsi="Times New Roman"/>
                <w:lang w:eastAsia="en-US"/>
              </w:rPr>
              <w:t>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FD3A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AD5B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CB553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CB553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E9797F">
              <w:rPr>
                <w:rFonts w:ascii="Times New Roman" w:hAnsi="Times New Roman"/>
                <w:sz w:val="24"/>
                <w:szCs w:val="24"/>
              </w:rPr>
              <w:t xml:space="preserve">,0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99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D673A6">
          <w:pgSz w:w="16838" w:h="11906" w:orient="landscape"/>
          <w:pgMar w:top="567" w:right="425" w:bottom="568"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r w:rsidR="00AD5B32">
        <w:rPr>
          <w:rFonts w:ascii="Times New Roman" w:hAnsi="Times New Roman"/>
          <w:sz w:val="28"/>
          <w:szCs w:val="28"/>
        </w:rPr>
        <w:t>2018</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D5B3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1220,5</w:t>
            </w:r>
          </w:p>
        </w:tc>
        <w:tc>
          <w:tcPr>
            <w:tcW w:w="1559" w:type="dxa"/>
            <w:tcBorders>
              <w:left w:val="single" w:sz="4" w:space="0" w:color="auto"/>
              <w:bottom w:val="single" w:sz="4" w:space="0" w:color="auto"/>
              <w:right w:val="single" w:sz="4" w:space="0" w:color="auto"/>
            </w:tcBorders>
          </w:tcPr>
          <w:p w:rsidR="00727022" w:rsidRPr="002B324E" w:rsidRDefault="00AD5B3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1220,3</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D5B3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1220,5</w:t>
            </w:r>
          </w:p>
        </w:tc>
        <w:tc>
          <w:tcPr>
            <w:tcW w:w="1559" w:type="dxa"/>
            <w:tcBorders>
              <w:left w:val="single" w:sz="4" w:space="0" w:color="auto"/>
              <w:bottom w:val="single" w:sz="4" w:space="0" w:color="auto"/>
              <w:right w:val="single" w:sz="4" w:space="0" w:color="auto"/>
            </w:tcBorders>
          </w:tcPr>
          <w:p w:rsidR="00727022" w:rsidRPr="002B324E" w:rsidRDefault="00AD5B3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1220,3</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320D4F" w:rsidRPr="00535C49" w:rsidRDefault="00D673A6" w:rsidP="000B6951">
      <w:pPr>
        <w:pStyle w:val="af1"/>
        <w:suppressAutoHyphens/>
        <w:jc w:val="center"/>
        <w:rPr>
          <w:sz w:val="28"/>
          <w:szCs w:val="28"/>
        </w:rPr>
      </w:pPr>
      <w:r>
        <w:rPr>
          <w:sz w:val="28"/>
          <w:szCs w:val="28"/>
        </w:rPr>
        <w:t>4</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AD5B32">
        <w:rPr>
          <w:sz w:val="28"/>
          <w:szCs w:val="28"/>
        </w:rPr>
        <w:t xml:space="preserve"> за 2018</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5016C0"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Сд1=0:1 х 100% = 0 </w:t>
      </w:r>
      <w:r w:rsidR="00CB372C">
        <w:rPr>
          <w:rFonts w:ascii="Times New Roman" w:hAnsi="Times New Roman"/>
          <w:sz w:val="28"/>
          <w:szCs w:val="28"/>
        </w:rPr>
        <w:t>%</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F01949" w:rsidRPr="00F01949"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Сд5=0:40</w:t>
      </w:r>
      <w:r w:rsidRPr="00F01949">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100%=0%</w:t>
      </w:r>
    </w:p>
    <w:p w:rsidR="009D5031" w:rsidRDefault="00AD5B32"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2018</w:t>
      </w:r>
      <w:r w:rsidR="00F01949">
        <w:rPr>
          <w:rFonts w:ascii="Times New Roman" w:hAnsi="Times New Roman"/>
          <w:sz w:val="28"/>
          <w:szCs w:val="28"/>
        </w:rPr>
        <w:t xml:space="preserve"> го</w:t>
      </w:r>
      <w:r w:rsidR="005016C0">
        <w:rPr>
          <w:rFonts w:ascii="Times New Roman" w:hAnsi="Times New Roman"/>
          <w:sz w:val="28"/>
          <w:szCs w:val="28"/>
        </w:rPr>
        <w:t>ду обеспечено выполнение трех</w:t>
      </w:r>
      <w:r w:rsidR="009D5031" w:rsidRPr="008150C1">
        <w:rPr>
          <w:rFonts w:ascii="Times New Roman" w:hAnsi="Times New Roman"/>
          <w:sz w:val="28"/>
          <w:szCs w:val="28"/>
        </w:rPr>
        <w:t xml:space="preserve"> основных меропри</w:t>
      </w:r>
      <w:r w:rsidR="009D5031">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Pr="002B324E" w:rsidRDefault="00FD3A14"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915,7/915,9</w:t>
      </w:r>
      <w:r w:rsidR="00F01949" w:rsidRPr="002B324E">
        <w:rPr>
          <w:rFonts w:ascii="Times New Roman" w:hAnsi="Times New Roman"/>
          <w:sz w:val="28"/>
          <w:szCs w:val="28"/>
        </w:rPr>
        <w:t xml:space="preserve"> х 100% = 100</w:t>
      </w:r>
    </w:p>
    <w:p w:rsidR="00934A84" w:rsidRDefault="00D06BE2"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Уф2</w:t>
      </w:r>
      <w:r w:rsidR="005016C0">
        <w:rPr>
          <w:rFonts w:ascii="Times New Roman" w:hAnsi="Times New Roman"/>
          <w:sz w:val="28"/>
          <w:szCs w:val="28"/>
        </w:rPr>
        <w:t xml:space="preserve"> = 244,4/244,4</w:t>
      </w:r>
      <w:r w:rsidR="00F01949" w:rsidRPr="002B324E">
        <w:rPr>
          <w:rFonts w:ascii="Times New Roman" w:hAnsi="Times New Roman"/>
          <w:sz w:val="28"/>
          <w:szCs w:val="28"/>
        </w:rPr>
        <w:t xml:space="preserve"> х 100 = 100</w:t>
      </w:r>
    </w:p>
    <w:p w:rsidR="00FD3A14" w:rsidRPr="00FD3A14" w:rsidRDefault="005016C0" w:rsidP="00FD3A14">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36,8/36,8</w:t>
      </w:r>
      <w:r w:rsidR="00FD3A14" w:rsidRPr="00FD3A14">
        <w:rPr>
          <w:rFonts w:ascii="Times New Roman" w:hAnsi="Times New Roman"/>
          <w:sz w:val="28"/>
          <w:szCs w:val="28"/>
        </w:rPr>
        <w:t xml:space="preserve"> х 100% = 100</w:t>
      </w:r>
    </w:p>
    <w:p w:rsidR="00FD3A14" w:rsidRPr="002B324E" w:rsidRDefault="005016C0" w:rsidP="00FD3A14">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Уф2 = 23,4/23,4</w:t>
      </w:r>
      <w:r w:rsidR="00FD3A14" w:rsidRPr="00FD3A14">
        <w:rPr>
          <w:rFonts w:ascii="Times New Roman" w:hAnsi="Times New Roman"/>
          <w:sz w:val="28"/>
          <w:szCs w:val="28"/>
        </w:rPr>
        <w:t xml:space="preserve"> х 100 = 100</w:t>
      </w:r>
    </w:p>
    <w:p w:rsidR="00752F30" w:rsidRPr="00752F30" w:rsidRDefault="00752F30" w:rsidP="00752F30">
      <w:pPr>
        <w:autoSpaceDE w:val="0"/>
        <w:autoSpaceDN w:val="0"/>
        <w:adjustRightInd w:val="0"/>
        <w:spacing w:after="0"/>
        <w:ind w:firstLine="708"/>
        <w:jc w:val="both"/>
        <w:rPr>
          <w:rFonts w:ascii="Times New Roman" w:hAnsi="Times New Roman"/>
          <w:sz w:val="28"/>
          <w:szCs w:val="28"/>
        </w:rPr>
      </w:pPr>
      <w:r w:rsidRPr="00752F30">
        <w:rPr>
          <w:rFonts w:ascii="Times New Roman" w:hAnsi="Times New Roman"/>
          <w:sz w:val="28"/>
          <w:szCs w:val="28"/>
        </w:rPr>
        <w:t xml:space="preserve">Уровень финансирования муниципальной программы из средств местного бюджета составил 100 %. </w:t>
      </w:r>
    </w:p>
    <w:p w:rsidR="00752F30" w:rsidRPr="00752F30" w:rsidRDefault="00752F30" w:rsidP="00752F30">
      <w:pPr>
        <w:autoSpaceDE w:val="0"/>
        <w:autoSpaceDN w:val="0"/>
        <w:adjustRightInd w:val="0"/>
        <w:spacing w:after="0"/>
        <w:jc w:val="both"/>
        <w:rPr>
          <w:rFonts w:ascii="Times New Roman" w:hAnsi="Times New Roman"/>
          <w:sz w:val="28"/>
          <w:szCs w:val="28"/>
        </w:rPr>
      </w:pPr>
      <w:r w:rsidRPr="00752F30">
        <w:rPr>
          <w:rFonts w:ascii="Times New Roman" w:hAnsi="Times New Roman"/>
          <w:sz w:val="28"/>
          <w:szCs w:val="28"/>
        </w:rPr>
        <w:t xml:space="preserve">           С учетом выше изложенного в соответствии с разделом 4 Программы в рамках оценки эффективности реализации муниципальной программы может быть сделан вывод о том, что "Программа выполняется". </w:t>
      </w:r>
    </w:p>
    <w:p w:rsidR="00C76264" w:rsidRDefault="00752F30" w:rsidP="00752F30">
      <w:pPr>
        <w:autoSpaceDE w:val="0"/>
        <w:autoSpaceDN w:val="0"/>
        <w:adjustRightInd w:val="0"/>
        <w:spacing w:after="0"/>
        <w:jc w:val="both"/>
        <w:rPr>
          <w:rFonts w:ascii="Times New Roman" w:hAnsi="Times New Roman"/>
          <w:sz w:val="28"/>
          <w:szCs w:val="28"/>
        </w:rPr>
      </w:pPr>
      <w:r w:rsidRPr="00752F30">
        <w:rPr>
          <w:rFonts w:ascii="Times New Roman" w:hAnsi="Times New Roman"/>
          <w:sz w:val="28"/>
          <w:szCs w:val="28"/>
        </w:rPr>
        <w:t xml:space="preserve">           Таким образом, отмечается, что целевые показатели </w:t>
      </w:r>
      <w:r w:rsidR="00AD5B32">
        <w:rPr>
          <w:rFonts w:ascii="Times New Roman" w:hAnsi="Times New Roman"/>
          <w:sz w:val="28"/>
          <w:szCs w:val="28"/>
        </w:rPr>
        <w:t>Программы по результатам за 2018</w:t>
      </w:r>
      <w:r w:rsidRPr="00752F30">
        <w:rPr>
          <w:rFonts w:ascii="Times New Roman" w:hAnsi="Times New Roman"/>
          <w:sz w:val="28"/>
          <w:szCs w:val="28"/>
        </w:rPr>
        <w:t xml:space="preserve"> год в основном до</w:t>
      </w:r>
      <w:r w:rsidR="005016C0">
        <w:rPr>
          <w:rFonts w:ascii="Times New Roman" w:hAnsi="Times New Roman"/>
          <w:sz w:val="28"/>
          <w:szCs w:val="28"/>
        </w:rPr>
        <w:t>стигнуты, выполнение составило 8</w:t>
      </w:r>
      <w:r w:rsidRPr="00752F30">
        <w:rPr>
          <w:rFonts w:ascii="Times New Roman" w:hAnsi="Times New Roman"/>
          <w:sz w:val="28"/>
          <w:szCs w:val="28"/>
        </w:rPr>
        <w:t>0 %. Программа считается реализуемой с удовлетворительным уровнем эффективности.</w:t>
      </w: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673A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Красновского сельского поселения      </w:t>
      </w:r>
      <w:r w:rsidR="00D673A6">
        <w:rPr>
          <w:rFonts w:ascii="Times New Roman" w:hAnsi="Times New Roman"/>
          <w:sz w:val="28"/>
          <w:szCs w:val="28"/>
        </w:rPr>
        <w:t xml:space="preserve">                      </w:t>
      </w:r>
      <w:r w:rsidRPr="00F32066">
        <w:rPr>
          <w:rFonts w:ascii="Times New Roman" w:hAnsi="Times New Roman"/>
          <w:sz w:val="28"/>
          <w:szCs w:val="28"/>
        </w:rPr>
        <w:t xml:space="preserve">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DC0" w:rsidRDefault="003B0DC0" w:rsidP="009258AD">
      <w:pPr>
        <w:spacing w:after="0" w:line="240" w:lineRule="auto"/>
      </w:pPr>
      <w:r>
        <w:separator/>
      </w:r>
    </w:p>
  </w:endnote>
  <w:endnote w:type="continuationSeparator" w:id="0">
    <w:p w:rsidR="003B0DC0" w:rsidRDefault="003B0DC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DC0" w:rsidRDefault="003B0DC0" w:rsidP="009258AD">
      <w:pPr>
        <w:spacing w:after="0" w:line="240" w:lineRule="auto"/>
      </w:pPr>
      <w:r>
        <w:separator/>
      </w:r>
    </w:p>
  </w:footnote>
  <w:footnote w:type="continuationSeparator" w:id="0">
    <w:p w:rsidR="003B0DC0" w:rsidRDefault="003B0DC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14B04"/>
    <w:rsid w:val="00024AA5"/>
    <w:rsid w:val="00042C98"/>
    <w:rsid w:val="00062F20"/>
    <w:rsid w:val="00072EAE"/>
    <w:rsid w:val="00085D19"/>
    <w:rsid w:val="000B6951"/>
    <w:rsid w:val="000C4336"/>
    <w:rsid w:val="001108ED"/>
    <w:rsid w:val="00132FC5"/>
    <w:rsid w:val="00137DC1"/>
    <w:rsid w:val="00157194"/>
    <w:rsid w:val="00163B16"/>
    <w:rsid w:val="001A443A"/>
    <w:rsid w:val="001B05EE"/>
    <w:rsid w:val="00221111"/>
    <w:rsid w:val="00255345"/>
    <w:rsid w:val="002730FE"/>
    <w:rsid w:val="002779EC"/>
    <w:rsid w:val="002B00A0"/>
    <w:rsid w:val="002B324E"/>
    <w:rsid w:val="00311D04"/>
    <w:rsid w:val="00320D4F"/>
    <w:rsid w:val="00382647"/>
    <w:rsid w:val="003A4CF6"/>
    <w:rsid w:val="003A7201"/>
    <w:rsid w:val="003B0DC0"/>
    <w:rsid w:val="004323FA"/>
    <w:rsid w:val="00441462"/>
    <w:rsid w:val="00446DB9"/>
    <w:rsid w:val="0045522D"/>
    <w:rsid w:val="00473A4E"/>
    <w:rsid w:val="004759C7"/>
    <w:rsid w:val="0048735B"/>
    <w:rsid w:val="004945B4"/>
    <w:rsid w:val="004D6203"/>
    <w:rsid w:val="004E69CA"/>
    <w:rsid w:val="005016C0"/>
    <w:rsid w:val="00535C49"/>
    <w:rsid w:val="005C586D"/>
    <w:rsid w:val="006050ED"/>
    <w:rsid w:val="006449A9"/>
    <w:rsid w:val="0067197E"/>
    <w:rsid w:val="006D59FD"/>
    <w:rsid w:val="007231E0"/>
    <w:rsid w:val="00727022"/>
    <w:rsid w:val="00752F30"/>
    <w:rsid w:val="0075355F"/>
    <w:rsid w:val="007A2C7B"/>
    <w:rsid w:val="007F798F"/>
    <w:rsid w:val="00807315"/>
    <w:rsid w:val="008150C1"/>
    <w:rsid w:val="00836B58"/>
    <w:rsid w:val="00871E85"/>
    <w:rsid w:val="00896D32"/>
    <w:rsid w:val="00896F71"/>
    <w:rsid w:val="008978FF"/>
    <w:rsid w:val="008B143B"/>
    <w:rsid w:val="008C444A"/>
    <w:rsid w:val="008D27BD"/>
    <w:rsid w:val="008D4CC5"/>
    <w:rsid w:val="008E35D6"/>
    <w:rsid w:val="009258AD"/>
    <w:rsid w:val="0092795A"/>
    <w:rsid w:val="00934A84"/>
    <w:rsid w:val="009566AF"/>
    <w:rsid w:val="0095692B"/>
    <w:rsid w:val="009D5031"/>
    <w:rsid w:val="009F44F1"/>
    <w:rsid w:val="009F4B33"/>
    <w:rsid w:val="00A107BA"/>
    <w:rsid w:val="00A334F6"/>
    <w:rsid w:val="00AB3A99"/>
    <w:rsid w:val="00AB7CFE"/>
    <w:rsid w:val="00AD5B32"/>
    <w:rsid w:val="00AF1A1E"/>
    <w:rsid w:val="00AF66D1"/>
    <w:rsid w:val="00AF6F39"/>
    <w:rsid w:val="00B2697E"/>
    <w:rsid w:val="00B71B6F"/>
    <w:rsid w:val="00B92744"/>
    <w:rsid w:val="00BB3A23"/>
    <w:rsid w:val="00C0555E"/>
    <w:rsid w:val="00C10753"/>
    <w:rsid w:val="00C507D0"/>
    <w:rsid w:val="00C52968"/>
    <w:rsid w:val="00C7136A"/>
    <w:rsid w:val="00C76264"/>
    <w:rsid w:val="00C9678D"/>
    <w:rsid w:val="00CB372C"/>
    <w:rsid w:val="00CB5534"/>
    <w:rsid w:val="00CB65E4"/>
    <w:rsid w:val="00CD7316"/>
    <w:rsid w:val="00D00518"/>
    <w:rsid w:val="00D06BE2"/>
    <w:rsid w:val="00D20B8E"/>
    <w:rsid w:val="00D36362"/>
    <w:rsid w:val="00D673A6"/>
    <w:rsid w:val="00DC3B91"/>
    <w:rsid w:val="00DC7431"/>
    <w:rsid w:val="00DE7188"/>
    <w:rsid w:val="00DF11BE"/>
    <w:rsid w:val="00DF6E92"/>
    <w:rsid w:val="00E007BD"/>
    <w:rsid w:val="00E25D60"/>
    <w:rsid w:val="00E3526D"/>
    <w:rsid w:val="00E83C77"/>
    <w:rsid w:val="00E90D5D"/>
    <w:rsid w:val="00E9797F"/>
    <w:rsid w:val="00EA0C81"/>
    <w:rsid w:val="00EE3C56"/>
    <w:rsid w:val="00EE42D6"/>
    <w:rsid w:val="00F01949"/>
    <w:rsid w:val="00F10F32"/>
    <w:rsid w:val="00F1382F"/>
    <w:rsid w:val="00F26942"/>
    <w:rsid w:val="00F32066"/>
    <w:rsid w:val="00F40D35"/>
    <w:rsid w:val="00FD3A14"/>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EE9D57-FD5D-42D2-AA98-E9278742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6737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7903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2019-03-21T09:10:00Z</cp:lastPrinted>
  <dcterms:created xsi:type="dcterms:W3CDTF">2025-07-09T18:46:00Z</dcterms:created>
  <dcterms:modified xsi:type="dcterms:W3CDTF">2025-07-09T18:46:00Z</dcterms:modified>
</cp:coreProperties>
</file>